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EF31" w14:textId="77777777" w:rsidR="00CA6B3C" w:rsidRDefault="00CA6B3C" w:rsidP="006E01B4">
      <w:pPr>
        <w:spacing w:after="0"/>
        <w:jc w:val="center"/>
        <w:rPr>
          <w:sz w:val="44"/>
          <w:szCs w:val="44"/>
        </w:rPr>
      </w:pPr>
    </w:p>
    <w:p w14:paraId="3B77DD4E" w14:textId="77777777" w:rsidR="00CA6B3C" w:rsidRDefault="00CA6B3C" w:rsidP="006E01B4">
      <w:pPr>
        <w:spacing w:after="0"/>
        <w:jc w:val="center"/>
        <w:rPr>
          <w:sz w:val="44"/>
          <w:szCs w:val="44"/>
        </w:rPr>
      </w:pPr>
    </w:p>
    <w:p w14:paraId="0071BD26" w14:textId="77777777" w:rsidR="00CA6B3C" w:rsidRDefault="00CA6B3C" w:rsidP="006E01B4">
      <w:pPr>
        <w:spacing w:after="0"/>
        <w:jc w:val="center"/>
        <w:rPr>
          <w:sz w:val="44"/>
          <w:szCs w:val="44"/>
        </w:rPr>
      </w:pPr>
    </w:p>
    <w:p w14:paraId="26721D0B" w14:textId="77777777" w:rsidR="00CA6B3C" w:rsidRDefault="00CA6B3C" w:rsidP="006E01B4">
      <w:pPr>
        <w:spacing w:after="0"/>
        <w:jc w:val="center"/>
        <w:rPr>
          <w:sz w:val="44"/>
          <w:szCs w:val="44"/>
        </w:rPr>
      </w:pPr>
    </w:p>
    <w:p w14:paraId="02D0F85B" w14:textId="77777777" w:rsidR="00CA6B3C" w:rsidRDefault="00CA6B3C" w:rsidP="006E01B4">
      <w:pPr>
        <w:spacing w:after="0"/>
        <w:jc w:val="center"/>
        <w:rPr>
          <w:sz w:val="44"/>
          <w:szCs w:val="44"/>
        </w:rPr>
      </w:pPr>
    </w:p>
    <w:p w14:paraId="25D4735E" w14:textId="77777777" w:rsidR="00821C3A" w:rsidRDefault="00821C3A" w:rsidP="006E01B4">
      <w:pPr>
        <w:spacing w:after="0"/>
        <w:jc w:val="center"/>
        <w:rPr>
          <w:b/>
        </w:rPr>
      </w:pPr>
    </w:p>
    <w:p w14:paraId="625AB71A" w14:textId="77777777" w:rsidR="001C5327" w:rsidRDefault="001C5327" w:rsidP="00821C3A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2CCD9FF" wp14:editId="57D3BD03">
            <wp:extent cx="3609975" cy="2454568"/>
            <wp:effectExtent l="0" t="0" r="0" b="3175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68" cy="247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F4064" w14:textId="77777777" w:rsidR="001C5327" w:rsidRDefault="001C5327" w:rsidP="006E01B4">
      <w:pPr>
        <w:spacing w:after="0"/>
        <w:jc w:val="center"/>
        <w:rPr>
          <w:b/>
        </w:rPr>
      </w:pPr>
    </w:p>
    <w:p w14:paraId="28C619B1" w14:textId="77777777" w:rsidR="001C5327" w:rsidRDefault="001C5327" w:rsidP="006E01B4">
      <w:pPr>
        <w:spacing w:after="0"/>
        <w:jc w:val="center"/>
        <w:rPr>
          <w:b/>
        </w:rPr>
      </w:pPr>
    </w:p>
    <w:p w14:paraId="52D45B37" w14:textId="77777777" w:rsidR="001C5327" w:rsidRDefault="001C5327" w:rsidP="006E01B4">
      <w:pPr>
        <w:spacing w:after="0"/>
        <w:jc w:val="center"/>
        <w:rPr>
          <w:b/>
        </w:rPr>
      </w:pPr>
    </w:p>
    <w:p w14:paraId="37BC247F" w14:textId="77777777" w:rsidR="001C5327" w:rsidRDefault="001C5327" w:rsidP="006E01B4">
      <w:pPr>
        <w:spacing w:after="0"/>
        <w:jc w:val="center"/>
        <w:rPr>
          <w:b/>
        </w:rPr>
      </w:pPr>
    </w:p>
    <w:p w14:paraId="47D0FBF8" w14:textId="77777777" w:rsidR="001C5327" w:rsidRDefault="001C5327" w:rsidP="006E01B4">
      <w:pPr>
        <w:spacing w:after="0"/>
        <w:jc w:val="center"/>
        <w:rPr>
          <w:b/>
        </w:rPr>
      </w:pPr>
    </w:p>
    <w:p w14:paraId="375F3F26" w14:textId="77777777" w:rsidR="001C5327" w:rsidRDefault="001C5327" w:rsidP="006E01B4">
      <w:pPr>
        <w:spacing w:after="0"/>
        <w:jc w:val="center"/>
        <w:rPr>
          <w:b/>
        </w:rPr>
      </w:pPr>
    </w:p>
    <w:p w14:paraId="5C06576A" w14:textId="77777777" w:rsidR="001C5327" w:rsidRPr="00EB14B4" w:rsidRDefault="001C5327" w:rsidP="006E01B4">
      <w:pPr>
        <w:spacing w:after="0"/>
        <w:jc w:val="center"/>
        <w:rPr>
          <w:b/>
          <w:sz w:val="36"/>
          <w:szCs w:val="36"/>
        </w:rPr>
      </w:pPr>
      <w:r w:rsidRPr="00EB14B4">
        <w:rPr>
          <w:b/>
          <w:sz w:val="36"/>
          <w:szCs w:val="36"/>
        </w:rPr>
        <w:t xml:space="preserve">FISCAL </w:t>
      </w:r>
      <w:r w:rsidR="006E01B4" w:rsidRPr="00EB14B4">
        <w:rPr>
          <w:b/>
          <w:sz w:val="36"/>
          <w:szCs w:val="36"/>
        </w:rPr>
        <w:t xml:space="preserve">YEAR </w:t>
      </w:r>
      <w:r w:rsidR="00AF3F4A" w:rsidRPr="000E1533">
        <w:rPr>
          <w:b/>
          <w:sz w:val="36"/>
          <w:szCs w:val="36"/>
        </w:rPr>
        <w:t>202</w:t>
      </w:r>
      <w:r w:rsidR="002B1DB6">
        <w:rPr>
          <w:b/>
          <w:sz w:val="36"/>
          <w:szCs w:val="36"/>
        </w:rPr>
        <w:t>4</w:t>
      </w:r>
      <w:r w:rsidRPr="00EB14B4">
        <w:rPr>
          <w:b/>
          <w:sz w:val="36"/>
          <w:szCs w:val="36"/>
        </w:rPr>
        <w:t xml:space="preserve"> ALLOCATION OF FUNDS</w:t>
      </w:r>
    </w:p>
    <w:p w14:paraId="7A5469B3" w14:textId="77777777" w:rsidR="001C5327" w:rsidRPr="00EB14B4" w:rsidRDefault="001C5327" w:rsidP="006E01B4">
      <w:pPr>
        <w:spacing w:after="0"/>
        <w:jc w:val="center"/>
        <w:rPr>
          <w:b/>
          <w:sz w:val="36"/>
          <w:szCs w:val="36"/>
        </w:rPr>
      </w:pPr>
      <w:r w:rsidRPr="00EB14B4">
        <w:rPr>
          <w:b/>
          <w:sz w:val="36"/>
          <w:szCs w:val="36"/>
        </w:rPr>
        <w:t>RISK INFORMED METHODOLOGY</w:t>
      </w:r>
    </w:p>
    <w:p w14:paraId="13680352" w14:textId="77777777" w:rsidR="001C5327" w:rsidRDefault="001C5327" w:rsidP="006E01B4">
      <w:pPr>
        <w:spacing w:after="0"/>
        <w:jc w:val="center"/>
        <w:rPr>
          <w:b/>
        </w:rPr>
      </w:pPr>
    </w:p>
    <w:p w14:paraId="18542E0B" w14:textId="77777777" w:rsidR="0063683F" w:rsidRDefault="0063683F" w:rsidP="006E01B4">
      <w:pPr>
        <w:spacing w:after="0"/>
        <w:jc w:val="center"/>
        <w:rPr>
          <w:b/>
        </w:rPr>
      </w:pPr>
    </w:p>
    <w:p w14:paraId="707719E2" w14:textId="77777777" w:rsidR="0063683F" w:rsidRDefault="0063683F" w:rsidP="006E01B4">
      <w:pPr>
        <w:spacing w:after="0"/>
        <w:jc w:val="center"/>
        <w:rPr>
          <w:b/>
        </w:rPr>
      </w:pPr>
    </w:p>
    <w:p w14:paraId="2428F4A8" w14:textId="77777777" w:rsidR="001C5327" w:rsidRPr="001C5327" w:rsidRDefault="001C5327" w:rsidP="006E01B4">
      <w:pPr>
        <w:spacing w:after="0"/>
        <w:rPr>
          <w:b/>
        </w:rPr>
      </w:pPr>
    </w:p>
    <w:p w14:paraId="523E86C1" w14:textId="77777777" w:rsidR="0063683F" w:rsidRDefault="0063683F" w:rsidP="0063683F">
      <w:pPr>
        <w:pStyle w:val="BodyText"/>
        <w:jc w:val="center"/>
        <w:rPr>
          <w:b/>
          <w:bCs w:val="0"/>
        </w:rPr>
      </w:pPr>
      <w:r>
        <w:rPr>
          <w:b/>
          <w:bCs w:val="0"/>
        </w:rPr>
        <w:t>Adopted by AACOG Regional Emergency Advisory Committee</w:t>
      </w:r>
    </w:p>
    <w:p w14:paraId="43C47D05" w14:textId="77777777" w:rsidR="0063683F" w:rsidRPr="00DC491B" w:rsidRDefault="0063683F" w:rsidP="0063683F">
      <w:pPr>
        <w:pStyle w:val="BodyText"/>
        <w:jc w:val="center"/>
        <w:rPr>
          <w:bCs w:val="0"/>
        </w:rPr>
      </w:pPr>
      <w:r>
        <w:rPr>
          <w:bCs w:val="0"/>
        </w:rPr>
        <w:t>October 20, 2021</w:t>
      </w:r>
    </w:p>
    <w:p w14:paraId="63FCF9AA" w14:textId="77777777" w:rsidR="006E01B4" w:rsidRDefault="006E01B4" w:rsidP="002344AD">
      <w:pPr>
        <w:spacing w:after="0"/>
        <w:jc w:val="both"/>
        <w:rPr>
          <w:rFonts w:eastAsia="Calibri"/>
          <w:b/>
          <w:szCs w:val="24"/>
        </w:rPr>
      </w:pPr>
    </w:p>
    <w:p w14:paraId="7B02C838" w14:textId="77777777" w:rsidR="006E01B4" w:rsidRDefault="006E01B4" w:rsidP="002344AD">
      <w:pPr>
        <w:spacing w:after="0"/>
        <w:jc w:val="both"/>
        <w:rPr>
          <w:rFonts w:eastAsia="Calibri"/>
          <w:b/>
          <w:szCs w:val="24"/>
        </w:rPr>
      </w:pPr>
    </w:p>
    <w:p w14:paraId="34C807E7" w14:textId="77777777" w:rsidR="006E01B4" w:rsidRDefault="006E01B4" w:rsidP="002344AD">
      <w:pPr>
        <w:spacing w:after="0"/>
        <w:jc w:val="both"/>
        <w:rPr>
          <w:rFonts w:eastAsia="Calibri"/>
          <w:b/>
          <w:szCs w:val="24"/>
        </w:rPr>
      </w:pPr>
    </w:p>
    <w:p w14:paraId="78E3F09F" w14:textId="77777777" w:rsidR="00030A70" w:rsidRDefault="00030A70">
      <w:pPr>
        <w:spacing w:line="276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br w:type="page"/>
      </w:r>
    </w:p>
    <w:p w14:paraId="5B92FD72" w14:textId="77777777" w:rsidR="00D77D48" w:rsidRDefault="00D77D48" w:rsidP="002344AD">
      <w:pPr>
        <w:spacing w:after="0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Risk-Based Assessment</w:t>
      </w:r>
      <w:r w:rsidR="002C6CAE">
        <w:rPr>
          <w:rFonts w:eastAsia="Calibri"/>
          <w:b/>
          <w:szCs w:val="24"/>
        </w:rPr>
        <w:t xml:space="preserve"> Methodology</w:t>
      </w:r>
    </w:p>
    <w:p w14:paraId="3111D7A8" w14:textId="77777777" w:rsidR="00D77D48" w:rsidRPr="002344AD" w:rsidRDefault="00D77D48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  <w:u w:val="single"/>
        </w:rPr>
        <w:t>Funding</w:t>
      </w:r>
      <w:r w:rsidRPr="002344AD">
        <w:rPr>
          <w:rFonts w:eastAsia="Calibri"/>
          <w:szCs w:val="24"/>
        </w:rPr>
        <w:t xml:space="preserve"> </w:t>
      </w:r>
      <w:r w:rsidR="002344AD">
        <w:rPr>
          <w:rFonts w:eastAsia="Calibri"/>
          <w:szCs w:val="24"/>
        </w:rPr>
        <w:t>– A</w:t>
      </w:r>
      <w:r w:rsidRPr="002344AD">
        <w:rPr>
          <w:rFonts w:eastAsia="Calibri"/>
          <w:szCs w:val="24"/>
        </w:rPr>
        <w:t xml:space="preserve">llocated to those areas with greater </w:t>
      </w:r>
      <w:proofErr w:type="gramStart"/>
      <w:r w:rsidRPr="002344AD">
        <w:rPr>
          <w:rFonts w:eastAsia="Calibri"/>
          <w:szCs w:val="24"/>
        </w:rPr>
        <w:t>risk</w:t>
      </w:r>
      <w:proofErr w:type="gramEnd"/>
    </w:p>
    <w:p w14:paraId="148B0853" w14:textId="77777777" w:rsidR="002344AD" w:rsidRDefault="002344AD" w:rsidP="002344AD">
      <w:pPr>
        <w:pStyle w:val="ListParagraph"/>
        <w:spacing w:after="0"/>
        <w:ind w:left="1504"/>
        <w:jc w:val="both"/>
        <w:rPr>
          <w:rFonts w:eastAsia="Calibri"/>
          <w:szCs w:val="24"/>
        </w:rPr>
      </w:pPr>
    </w:p>
    <w:p w14:paraId="34CB05C9" w14:textId="77777777" w:rsidR="00D929AB" w:rsidRPr="002344AD" w:rsidRDefault="00D929AB" w:rsidP="002344AD">
      <w:pPr>
        <w:pStyle w:val="ListParagraph"/>
        <w:numPr>
          <w:ilvl w:val="1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The Office of the Governor’s Homeland Security Division has indicated that 60-70% of the funds should go to projects in the City of San Antonio and Bexar County</w:t>
      </w:r>
      <w:r w:rsidR="002344AD" w:rsidRPr="002344AD">
        <w:rPr>
          <w:rFonts w:eastAsia="Calibri"/>
          <w:szCs w:val="24"/>
        </w:rPr>
        <w:t>.</w:t>
      </w:r>
    </w:p>
    <w:p w14:paraId="6BA9BB3F" w14:textId="77777777" w:rsidR="00615241" w:rsidRPr="002344AD" w:rsidRDefault="00615241" w:rsidP="002344AD">
      <w:pPr>
        <w:pStyle w:val="ListParagraph"/>
        <w:spacing w:after="0"/>
        <w:ind w:left="784"/>
        <w:jc w:val="both"/>
        <w:rPr>
          <w:rFonts w:eastAsia="Calibri"/>
          <w:szCs w:val="24"/>
        </w:rPr>
      </w:pPr>
    </w:p>
    <w:p w14:paraId="698147CF" w14:textId="77777777" w:rsidR="00D77D48" w:rsidRPr="002344AD" w:rsidRDefault="00D77D48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  <w:u w:val="single"/>
        </w:rPr>
        <w:t>Threat</w:t>
      </w:r>
      <w:r w:rsidRPr="002344AD">
        <w:rPr>
          <w:rFonts w:eastAsia="Calibri"/>
          <w:szCs w:val="24"/>
        </w:rPr>
        <w:t xml:space="preserve"> </w:t>
      </w:r>
      <w:r w:rsidR="00FE4F2A" w:rsidRPr="002344AD">
        <w:rPr>
          <w:rFonts w:eastAsia="Calibri"/>
          <w:szCs w:val="24"/>
        </w:rPr>
        <w:t>–</w:t>
      </w:r>
      <w:r w:rsidRPr="002344AD">
        <w:rPr>
          <w:rFonts w:eastAsia="Calibri"/>
          <w:szCs w:val="24"/>
        </w:rPr>
        <w:t xml:space="preserve"> </w:t>
      </w:r>
      <w:r w:rsidR="002344AD">
        <w:rPr>
          <w:rFonts w:eastAsia="Calibri"/>
          <w:szCs w:val="24"/>
        </w:rPr>
        <w:t>L</w:t>
      </w:r>
      <w:r w:rsidR="00FE4F2A" w:rsidRPr="002344AD">
        <w:rPr>
          <w:rFonts w:eastAsia="Calibri"/>
          <w:szCs w:val="24"/>
        </w:rPr>
        <w:t xml:space="preserve">ikelihood </w:t>
      </w:r>
      <w:r w:rsidR="002344AD">
        <w:rPr>
          <w:rFonts w:eastAsia="Calibri"/>
          <w:szCs w:val="24"/>
        </w:rPr>
        <w:t>of</w:t>
      </w:r>
      <w:r w:rsidR="00FE4F2A" w:rsidRPr="002344AD">
        <w:rPr>
          <w:rFonts w:eastAsia="Calibri"/>
          <w:szCs w:val="24"/>
        </w:rPr>
        <w:t xml:space="preserve"> an att</w:t>
      </w:r>
      <w:r w:rsidR="002344AD" w:rsidRPr="002344AD">
        <w:rPr>
          <w:rFonts w:eastAsia="Calibri"/>
          <w:szCs w:val="24"/>
        </w:rPr>
        <w:t xml:space="preserve">ack or </w:t>
      </w:r>
      <w:r w:rsidR="002344AD">
        <w:rPr>
          <w:rFonts w:eastAsia="Calibri"/>
          <w:szCs w:val="24"/>
        </w:rPr>
        <w:t>hazard</w:t>
      </w:r>
      <w:r w:rsidR="002344AD" w:rsidRPr="002344AD">
        <w:rPr>
          <w:rFonts w:eastAsia="Calibri"/>
          <w:szCs w:val="24"/>
        </w:rPr>
        <w:t xml:space="preserve"> </w:t>
      </w:r>
      <w:proofErr w:type="gramStart"/>
      <w:r w:rsidR="002344AD" w:rsidRPr="002344AD">
        <w:rPr>
          <w:rFonts w:eastAsia="Calibri"/>
          <w:szCs w:val="24"/>
        </w:rPr>
        <w:t>occur</w:t>
      </w:r>
      <w:r w:rsidR="002344AD">
        <w:rPr>
          <w:rFonts w:eastAsia="Calibri"/>
          <w:szCs w:val="24"/>
        </w:rPr>
        <w:t>ring</w:t>
      </w:r>
      <w:proofErr w:type="gramEnd"/>
    </w:p>
    <w:p w14:paraId="1FACCE02" w14:textId="77777777" w:rsidR="002344AD" w:rsidRDefault="002344AD" w:rsidP="002344AD">
      <w:pPr>
        <w:pStyle w:val="ListParagraph"/>
        <w:spacing w:after="0"/>
        <w:ind w:left="1504"/>
        <w:jc w:val="both"/>
        <w:rPr>
          <w:rFonts w:eastAsia="Calibri"/>
          <w:szCs w:val="24"/>
        </w:rPr>
      </w:pPr>
    </w:p>
    <w:p w14:paraId="4367D53A" w14:textId="77777777" w:rsidR="00FE4F2A" w:rsidRPr="002344AD" w:rsidRDefault="00FE4F2A" w:rsidP="002344AD">
      <w:pPr>
        <w:pStyle w:val="ListParagraph"/>
        <w:numPr>
          <w:ilvl w:val="1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Areas Assessed:</w:t>
      </w:r>
    </w:p>
    <w:p w14:paraId="016BFC3F" w14:textId="77777777" w:rsidR="00FE4F2A" w:rsidRPr="002344AD" w:rsidRDefault="00FE4F2A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Critical Infrastructure/Key Resources</w:t>
      </w:r>
    </w:p>
    <w:p w14:paraId="26B8BF20" w14:textId="77777777" w:rsidR="00FE4F2A" w:rsidRPr="002344AD" w:rsidRDefault="00FE4F2A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Major Transportation Facilities</w:t>
      </w:r>
    </w:p>
    <w:p w14:paraId="1888F7FC" w14:textId="77777777" w:rsidR="006C618F" w:rsidRPr="00BA46E3" w:rsidRDefault="00FE4F2A" w:rsidP="00BA46E3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 xml:space="preserve">Major Transportation </w:t>
      </w:r>
      <w:r w:rsidR="00D929AB" w:rsidRPr="002344AD">
        <w:rPr>
          <w:rFonts w:eastAsia="Calibri"/>
          <w:szCs w:val="24"/>
        </w:rPr>
        <w:t>Routes</w:t>
      </w:r>
    </w:p>
    <w:p w14:paraId="599E36DB" w14:textId="77777777" w:rsidR="00615241" w:rsidRPr="002344AD" w:rsidRDefault="00615241" w:rsidP="002344AD">
      <w:pPr>
        <w:pStyle w:val="ListParagraph"/>
        <w:spacing w:after="0"/>
        <w:ind w:left="2224"/>
        <w:jc w:val="both"/>
        <w:rPr>
          <w:rFonts w:eastAsia="Calibri"/>
          <w:szCs w:val="24"/>
        </w:rPr>
      </w:pPr>
    </w:p>
    <w:p w14:paraId="25AB4983" w14:textId="77777777" w:rsidR="00615241" w:rsidRPr="002344AD" w:rsidRDefault="00615241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  <w:u w:val="single"/>
        </w:rPr>
        <w:t>Vulnerabilities</w:t>
      </w:r>
      <w:r w:rsidRPr="002344AD">
        <w:rPr>
          <w:rFonts w:eastAsia="Calibri"/>
          <w:szCs w:val="24"/>
        </w:rPr>
        <w:t xml:space="preserve"> – Physical feature or operational attribute that renders an entity open to exploitation o</w:t>
      </w:r>
      <w:r w:rsidR="002344AD" w:rsidRPr="002344AD">
        <w:rPr>
          <w:rFonts w:eastAsia="Calibri"/>
          <w:szCs w:val="24"/>
        </w:rPr>
        <w:t xml:space="preserve">r susceptible to a given </w:t>
      </w:r>
      <w:proofErr w:type="gramStart"/>
      <w:r w:rsidR="002344AD" w:rsidRPr="002344AD">
        <w:rPr>
          <w:rFonts w:eastAsia="Calibri"/>
          <w:szCs w:val="24"/>
        </w:rPr>
        <w:t>hazard</w:t>
      </w:r>
      <w:proofErr w:type="gramEnd"/>
    </w:p>
    <w:p w14:paraId="372FEF92" w14:textId="77777777" w:rsidR="002344AD" w:rsidRDefault="002344AD" w:rsidP="002344AD">
      <w:pPr>
        <w:pStyle w:val="ListParagraph"/>
        <w:spacing w:after="0"/>
        <w:ind w:left="1504"/>
        <w:jc w:val="both"/>
        <w:rPr>
          <w:rFonts w:eastAsia="Calibri"/>
          <w:szCs w:val="24"/>
        </w:rPr>
      </w:pPr>
    </w:p>
    <w:p w14:paraId="45068ABB" w14:textId="77777777" w:rsidR="00615241" w:rsidRPr="002344AD" w:rsidRDefault="00615241" w:rsidP="002344AD">
      <w:pPr>
        <w:pStyle w:val="ListParagraph"/>
        <w:numPr>
          <w:ilvl w:val="1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Areas Assessed</w:t>
      </w:r>
    </w:p>
    <w:p w14:paraId="270507D8" w14:textId="77777777" w:rsidR="00615241" w:rsidRPr="002344AD" w:rsidRDefault="00615241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 xml:space="preserve">Federal </w:t>
      </w:r>
      <w:r w:rsidR="006F7C36" w:rsidRPr="002344AD">
        <w:rPr>
          <w:rFonts w:eastAsia="Calibri"/>
          <w:szCs w:val="24"/>
        </w:rPr>
        <w:t xml:space="preserve">and State </w:t>
      </w:r>
      <w:r w:rsidRPr="002344AD">
        <w:rPr>
          <w:rFonts w:eastAsia="Calibri"/>
          <w:szCs w:val="24"/>
        </w:rPr>
        <w:t>Government Facilities</w:t>
      </w:r>
    </w:p>
    <w:p w14:paraId="070AB021" w14:textId="77777777" w:rsidR="00615241" w:rsidRPr="002344AD" w:rsidRDefault="00615241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 xml:space="preserve">Major Tourist or Meeting </w:t>
      </w:r>
      <w:r w:rsidR="006F7C36" w:rsidRPr="002344AD">
        <w:rPr>
          <w:rFonts w:eastAsia="Calibri"/>
          <w:szCs w:val="24"/>
        </w:rPr>
        <w:t>Places</w:t>
      </w:r>
    </w:p>
    <w:p w14:paraId="4013A07B" w14:textId="77777777" w:rsidR="006F7C36" w:rsidRPr="002344AD" w:rsidRDefault="006F7C36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Major Colleges and Universities</w:t>
      </w:r>
    </w:p>
    <w:p w14:paraId="4C0054E4" w14:textId="77777777" w:rsidR="006F7C36" w:rsidRPr="002344AD" w:rsidRDefault="006F7C36" w:rsidP="002344AD">
      <w:pPr>
        <w:pStyle w:val="ListParagraph"/>
        <w:spacing w:after="0"/>
        <w:ind w:left="2224"/>
        <w:jc w:val="both"/>
        <w:rPr>
          <w:rFonts w:eastAsia="Calibri"/>
          <w:szCs w:val="24"/>
        </w:rPr>
      </w:pPr>
    </w:p>
    <w:p w14:paraId="43C5903C" w14:textId="77777777" w:rsidR="006F7C36" w:rsidRPr="002344AD" w:rsidRDefault="006F7C36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  <w:u w:val="single"/>
        </w:rPr>
        <w:t>Consequences</w:t>
      </w:r>
      <w:r w:rsidRPr="002344AD">
        <w:rPr>
          <w:rFonts w:eastAsia="Calibri"/>
          <w:szCs w:val="24"/>
        </w:rPr>
        <w:t xml:space="preserve"> – The effect of an event, </w:t>
      </w:r>
      <w:proofErr w:type="gramStart"/>
      <w:r w:rsidRPr="002344AD">
        <w:rPr>
          <w:rFonts w:eastAsia="Calibri"/>
          <w:szCs w:val="24"/>
        </w:rPr>
        <w:t>incident</w:t>
      </w:r>
      <w:proofErr w:type="gramEnd"/>
      <w:r w:rsidRPr="002344AD">
        <w:rPr>
          <w:rFonts w:eastAsia="Calibri"/>
          <w:szCs w:val="24"/>
        </w:rPr>
        <w:t xml:space="preserve"> or occurrence</w:t>
      </w:r>
    </w:p>
    <w:p w14:paraId="0D3B2CBC" w14:textId="77777777" w:rsidR="002344AD" w:rsidRDefault="002344AD" w:rsidP="002344AD">
      <w:pPr>
        <w:pStyle w:val="ListParagraph"/>
        <w:spacing w:after="0"/>
        <w:ind w:left="1504"/>
        <w:jc w:val="both"/>
        <w:rPr>
          <w:rFonts w:eastAsia="Calibri"/>
          <w:szCs w:val="24"/>
        </w:rPr>
      </w:pPr>
    </w:p>
    <w:p w14:paraId="322FE118" w14:textId="77777777" w:rsidR="006F7C36" w:rsidRPr="002344AD" w:rsidRDefault="006F7C36" w:rsidP="002344AD">
      <w:pPr>
        <w:pStyle w:val="ListParagraph"/>
        <w:numPr>
          <w:ilvl w:val="1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Areas Assessed</w:t>
      </w:r>
    </w:p>
    <w:p w14:paraId="71DB236B" w14:textId="77777777" w:rsidR="006F7C36" w:rsidRPr="002344AD" w:rsidRDefault="006F7C36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Population</w:t>
      </w:r>
    </w:p>
    <w:p w14:paraId="7EEAA791" w14:textId="77777777" w:rsidR="006F7C36" w:rsidRPr="002344AD" w:rsidRDefault="006F7C36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Military Population</w:t>
      </w:r>
    </w:p>
    <w:p w14:paraId="0B2B74DE" w14:textId="77777777" w:rsidR="006F7C36" w:rsidRPr="002344AD" w:rsidRDefault="006F7C36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School Facilities (Public, Universities, Colleges)</w:t>
      </w:r>
    </w:p>
    <w:p w14:paraId="1D2F209F" w14:textId="77777777" w:rsidR="00753A8F" w:rsidRDefault="00753A8F" w:rsidP="002344AD">
      <w:pPr>
        <w:pStyle w:val="ListParagraph"/>
        <w:numPr>
          <w:ilvl w:val="2"/>
          <w:numId w:val="2"/>
        </w:numPr>
        <w:spacing w:after="0"/>
        <w:jc w:val="both"/>
        <w:rPr>
          <w:rFonts w:eastAsia="Calibri"/>
          <w:b/>
          <w:szCs w:val="24"/>
        </w:rPr>
      </w:pPr>
      <w:r w:rsidRPr="002344AD">
        <w:rPr>
          <w:rFonts w:eastAsia="Calibri"/>
          <w:szCs w:val="24"/>
        </w:rPr>
        <w:t>Critical Infrastructure/Key Resources</w:t>
      </w:r>
    </w:p>
    <w:p w14:paraId="3403418A" w14:textId="77777777" w:rsidR="002344AD" w:rsidRDefault="002344AD" w:rsidP="002344AD">
      <w:pPr>
        <w:spacing w:after="0"/>
        <w:jc w:val="both"/>
        <w:rPr>
          <w:rFonts w:eastAsia="Calibri"/>
          <w:b/>
          <w:szCs w:val="24"/>
        </w:rPr>
      </w:pPr>
    </w:p>
    <w:p w14:paraId="7BF6136F" w14:textId="77777777" w:rsidR="006F7C36" w:rsidRPr="002344AD" w:rsidRDefault="006F7C36" w:rsidP="002344AD">
      <w:pPr>
        <w:spacing w:after="0"/>
        <w:jc w:val="both"/>
        <w:rPr>
          <w:rFonts w:eastAsia="Calibri"/>
          <w:b/>
          <w:szCs w:val="24"/>
        </w:rPr>
      </w:pPr>
      <w:r w:rsidRPr="002344AD">
        <w:rPr>
          <w:rFonts w:eastAsia="Calibri"/>
          <w:b/>
          <w:szCs w:val="24"/>
        </w:rPr>
        <w:t xml:space="preserve">The sources of data for the Risk-Based </w:t>
      </w:r>
      <w:r w:rsidR="00920FAE" w:rsidRPr="002344AD">
        <w:rPr>
          <w:rFonts w:eastAsia="Calibri"/>
          <w:b/>
          <w:szCs w:val="24"/>
        </w:rPr>
        <w:t xml:space="preserve">Assessment </w:t>
      </w:r>
      <w:r w:rsidRPr="002344AD">
        <w:rPr>
          <w:rFonts w:eastAsia="Calibri"/>
          <w:b/>
          <w:szCs w:val="24"/>
        </w:rPr>
        <w:t>methodology</w:t>
      </w:r>
    </w:p>
    <w:p w14:paraId="2A549465" w14:textId="77777777" w:rsidR="002344AD" w:rsidRDefault="002344AD" w:rsidP="002344AD">
      <w:pPr>
        <w:pStyle w:val="ListParagraph"/>
        <w:spacing w:after="0"/>
        <w:ind w:left="784"/>
        <w:jc w:val="both"/>
        <w:rPr>
          <w:rFonts w:eastAsia="Calibri"/>
          <w:szCs w:val="24"/>
        </w:rPr>
      </w:pPr>
    </w:p>
    <w:p w14:paraId="09CD9EF7" w14:textId="77777777" w:rsidR="006F7C36" w:rsidRPr="002344AD" w:rsidRDefault="00572A2E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SAUA-AA</w:t>
      </w:r>
      <w:r w:rsidR="005C06E6" w:rsidRPr="002344AD">
        <w:rPr>
          <w:rFonts w:eastAsia="Calibri"/>
          <w:szCs w:val="24"/>
        </w:rPr>
        <w:t xml:space="preserve">COG </w:t>
      </w:r>
      <w:r w:rsidR="00753A8F" w:rsidRPr="002344AD">
        <w:rPr>
          <w:rFonts w:eastAsia="Calibri"/>
          <w:szCs w:val="24"/>
        </w:rPr>
        <w:t>THIRA</w:t>
      </w:r>
    </w:p>
    <w:p w14:paraId="30582D04" w14:textId="77777777" w:rsidR="002C6CAE" w:rsidRPr="002344AD" w:rsidRDefault="00F80684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AACOG Impleme</w:t>
      </w:r>
      <w:r w:rsidR="002C6CAE" w:rsidRPr="002344AD">
        <w:rPr>
          <w:rFonts w:eastAsia="Calibri"/>
          <w:szCs w:val="24"/>
        </w:rPr>
        <w:t>ntation Plan</w:t>
      </w:r>
    </w:p>
    <w:p w14:paraId="41C3D0A3" w14:textId="77777777" w:rsidR="002C6CAE" w:rsidRPr="002344AD" w:rsidRDefault="002C6CAE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St</w:t>
      </w:r>
      <w:r w:rsidR="00636A20">
        <w:rPr>
          <w:rFonts w:eastAsia="Calibri"/>
          <w:szCs w:val="24"/>
        </w:rPr>
        <w:t xml:space="preserve">akeholders </w:t>
      </w:r>
      <w:r w:rsidRPr="002344AD">
        <w:rPr>
          <w:rFonts w:eastAsia="Calibri"/>
          <w:szCs w:val="24"/>
        </w:rPr>
        <w:t>Preparedness Report</w:t>
      </w:r>
    </w:p>
    <w:p w14:paraId="1027E36C" w14:textId="77777777" w:rsidR="00753A8F" w:rsidRPr="002344AD" w:rsidRDefault="00753A8F" w:rsidP="002344AD">
      <w:pPr>
        <w:pStyle w:val="ListParagraph"/>
        <w:numPr>
          <w:ilvl w:val="0"/>
          <w:numId w:val="2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SAUA-ACCOG Strategic plan</w:t>
      </w:r>
    </w:p>
    <w:p w14:paraId="654C506B" w14:textId="77777777" w:rsidR="00753A8F" w:rsidRDefault="00753A8F" w:rsidP="002344AD">
      <w:pPr>
        <w:pStyle w:val="ListParagraph"/>
        <w:spacing w:after="0"/>
        <w:ind w:left="0"/>
        <w:jc w:val="both"/>
        <w:rPr>
          <w:rFonts w:eastAsia="Calibri"/>
          <w:b/>
          <w:szCs w:val="24"/>
        </w:rPr>
      </w:pPr>
    </w:p>
    <w:p w14:paraId="3BB5FCD3" w14:textId="77777777" w:rsidR="002C6CAE" w:rsidRDefault="00753A8F" w:rsidP="002344AD">
      <w:pPr>
        <w:pStyle w:val="ListParagraph"/>
        <w:spacing w:after="0"/>
        <w:ind w:left="0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Region prioritization</w:t>
      </w:r>
      <w:r w:rsidR="002C6CAE">
        <w:rPr>
          <w:rFonts w:eastAsia="Calibri"/>
          <w:b/>
          <w:szCs w:val="24"/>
        </w:rPr>
        <w:t>:</w:t>
      </w:r>
    </w:p>
    <w:p w14:paraId="4FB11054" w14:textId="77777777" w:rsidR="00753A8F" w:rsidRDefault="00753A8F" w:rsidP="002344AD">
      <w:pPr>
        <w:pStyle w:val="ListParagraph"/>
        <w:spacing w:after="0"/>
        <w:ind w:left="0"/>
        <w:jc w:val="both"/>
        <w:rPr>
          <w:rFonts w:eastAsia="Calibri"/>
          <w:b/>
          <w:szCs w:val="24"/>
        </w:rPr>
      </w:pPr>
    </w:p>
    <w:p w14:paraId="56CC5303" w14:textId="77777777" w:rsidR="002C6CAE" w:rsidRPr="002344AD" w:rsidRDefault="002C6CAE" w:rsidP="002344AD">
      <w:pPr>
        <w:pStyle w:val="ListParagraph"/>
        <w:numPr>
          <w:ilvl w:val="0"/>
          <w:numId w:val="6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AACOG Region will allocate funding based on the following criteria and priorities:</w:t>
      </w:r>
    </w:p>
    <w:p w14:paraId="77997486" w14:textId="77777777" w:rsidR="002344AD" w:rsidRDefault="002344AD" w:rsidP="002344AD">
      <w:pPr>
        <w:pStyle w:val="ListParagraph"/>
        <w:spacing w:after="0"/>
        <w:ind w:left="1080"/>
        <w:jc w:val="both"/>
        <w:rPr>
          <w:rFonts w:eastAsia="Calibri"/>
          <w:szCs w:val="24"/>
        </w:rPr>
      </w:pPr>
    </w:p>
    <w:p w14:paraId="55184219" w14:textId="77777777" w:rsidR="002C6CAE" w:rsidRPr="002344AD" w:rsidRDefault="002C6CAE" w:rsidP="002344AD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Operational Criteria based o</w:t>
      </w:r>
      <w:r w:rsidR="000700EF" w:rsidRPr="002344AD">
        <w:rPr>
          <w:rFonts w:eastAsia="Calibri"/>
          <w:szCs w:val="24"/>
        </w:rPr>
        <w:t>n Regional T</w:t>
      </w:r>
      <w:r w:rsidRPr="002344AD">
        <w:rPr>
          <w:rFonts w:eastAsia="Calibri"/>
          <w:szCs w:val="24"/>
        </w:rPr>
        <w:t>hreat</w:t>
      </w:r>
    </w:p>
    <w:p w14:paraId="1EAC9805" w14:textId="77777777" w:rsidR="002C6CAE" w:rsidRPr="002344AD" w:rsidRDefault="00920FAE" w:rsidP="002344AD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 xml:space="preserve">Summary Description </w:t>
      </w:r>
      <w:proofErr w:type="gramStart"/>
      <w:r w:rsidRPr="002344AD">
        <w:rPr>
          <w:rFonts w:eastAsia="Calibri"/>
          <w:szCs w:val="24"/>
        </w:rPr>
        <w:t xml:space="preserve">of </w:t>
      </w:r>
      <w:r w:rsidR="002C6CAE" w:rsidRPr="002344AD">
        <w:rPr>
          <w:rFonts w:eastAsia="Calibri"/>
          <w:szCs w:val="24"/>
        </w:rPr>
        <w:t xml:space="preserve"> Project</w:t>
      </w:r>
      <w:proofErr w:type="gramEnd"/>
      <w:r w:rsidR="002C6CAE" w:rsidRPr="002344AD">
        <w:rPr>
          <w:rFonts w:eastAsia="Calibri"/>
          <w:szCs w:val="24"/>
        </w:rPr>
        <w:t xml:space="preserve"> </w:t>
      </w:r>
      <w:r w:rsidRPr="002344AD">
        <w:rPr>
          <w:rFonts w:eastAsia="Calibri"/>
          <w:szCs w:val="24"/>
        </w:rPr>
        <w:t>Utility and Vulnerability</w:t>
      </w:r>
    </w:p>
    <w:p w14:paraId="5E50B09C" w14:textId="77777777" w:rsidR="00920FAE" w:rsidRPr="002344AD" w:rsidRDefault="00920FAE" w:rsidP="002344AD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Budget and Return on Investment (Value Added)</w:t>
      </w:r>
    </w:p>
    <w:p w14:paraId="589444BC" w14:textId="77777777" w:rsidR="00920FAE" w:rsidRPr="002344AD" w:rsidRDefault="00920FAE" w:rsidP="002344AD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Risk Assessment – Threat / Vulnerability / Consequences</w:t>
      </w:r>
    </w:p>
    <w:p w14:paraId="4B1DC7FF" w14:textId="77777777" w:rsidR="00636A20" w:rsidRDefault="00753A8F" w:rsidP="00636A20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History of grant performance</w:t>
      </w:r>
      <w:r w:rsidR="00636A20" w:rsidRPr="00636A20">
        <w:rPr>
          <w:rFonts w:eastAsia="Calibri"/>
          <w:szCs w:val="24"/>
        </w:rPr>
        <w:t xml:space="preserve"> </w:t>
      </w:r>
    </w:p>
    <w:p w14:paraId="508E6A76" w14:textId="77777777" w:rsidR="00AD764B" w:rsidRPr="001C5211" w:rsidRDefault="00AD764B" w:rsidP="00AD764B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 xml:space="preserve">Participation in subsequent related activities pertaining to funded projects, such as data collection and </w:t>
      </w:r>
      <w:r w:rsidRPr="001C5211">
        <w:rPr>
          <w:rFonts w:eastAsia="Calibri"/>
          <w:szCs w:val="24"/>
        </w:rPr>
        <w:t xml:space="preserve">presenting required biannual </w:t>
      </w:r>
      <w:proofErr w:type="gramStart"/>
      <w:r w:rsidRPr="001C5211">
        <w:rPr>
          <w:rFonts w:eastAsia="Calibri"/>
          <w:szCs w:val="24"/>
        </w:rPr>
        <w:t>updates</w:t>
      </w:r>
      <w:proofErr w:type="gramEnd"/>
    </w:p>
    <w:p w14:paraId="02970F22" w14:textId="77777777" w:rsidR="00A917A1" w:rsidRPr="00A917A1" w:rsidRDefault="00636A20" w:rsidP="00A917A1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2344AD">
        <w:rPr>
          <w:rFonts w:eastAsia="Calibri"/>
          <w:szCs w:val="24"/>
        </w:rPr>
        <w:t>Other funds available</w:t>
      </w:r>
    </w:p>
    <w:p w14:paraId="782C2BCB" w14:textId="77777777" w:rsidR="00AD764B" w:rsidRDefault="00AD764B" w:rsidP="00A917A1">
      <w:pPr>
        <w:spacing w:after="0"/>
        <w:jc w:val="both"/>
        <w:rPr>
          <w:rFonts w:eastAsia="Calibri"/>
          <w:b/>
          <w:szCs w:val="24"/>
        </w:rPr>
      </w:pPr>
    </w:p>
    <w:p w14:paraId="5198FD8A" w14:textId="77777777" w:rsidR="00A917A1" w:rsidRPr="00A917A1" w:rsidRDefault="00A917A1" w:rsidP="00A917A1">
      <w:pPr>
        <w:spacing w:after="0"/>
        <w:jc w:val="both"/>
        <w:rPr>
          <w:rFonts w:eastAsia="Calibri"/>
          <w:b/>
          <w:szCs w:val="24"/>
        </w:rPr>
      </w:pPr>
      <w:r w:rsidRPr="00A917A1">
        <w:rPr>
          <w:rFonts w:eastAsia="Calibri"/>
          <w:b/>
          <w:szCs w:val="24"/>
        </w:rPr>
        <w:t>Overall process</w:t>
      </w:r>
    </w:p>
    <w:p w14:paraId="75436C2C" w14:textId="77777777" w:rsidR="008C71CA" w:rsidRDefault="008C71CA" w:rsidP="008C71CA">
      <w:pPr>
        <w:pStyle w:val="ListParagraph"/>
        <w:spacing w:after="0"/>
        <w:ind w:left="1080"/>
        <w:jc w:val="both"/>
        <w:rPr>
          <w:rFonts w:eastAsia="Calibri"/>
          <w:szCs w:val="24"/>
        </w:rPr>
      </w:pPr>
    </w:p>
    <w:p w14:paraId="3699DA68" w14:textId="77777777" w:rsidR="00BE163D" w:rsidRDefault="008C71CA" w:rsidP="00BA46E3">
      <w:pPr>
        <w:pStyle w:val="ListParagraph"/>
        <w:pBdr>
          <w:bottom w:val="single" w:sz="4" w:space="1" w:color="auto"/>
        </w:pBdr>
        <w:spacing w:after="0"/>
        <w:ind w:left="0"/>
        <w:jc w:val="both"/>
        <w:rPr>
          <w:rFonts w:eastAsia="Calibri"/>
          <w:szCs w:val="24"/>
        </w:rPr>
      </w:pPr>
      <w:r w:rsidRPr="008C71CA">
        <w:rPr>
          <w:rFonts w:eastAsia="Calibri"/>
          <w:szCs w:val="24"/>
        </w:rPr>
        <w:t xml:space="preserve">REPAC </w:t>
      </w:r>
      <w:r w:rsidR="00030A70">
        <w:rPr>
          <w:rFonts w:eastAsia="Calibri"/>
          <w:szCs w:val="24"/>
        </w:rPr>
        <w:t>subcommittees</w:t>
      </w:r>
      <w:r w:rsidRPr="008C71CA">
        <w:rPr>
          <w:rFonts w:eastAsia="Calibri"/>
          <w:szCs w:val="24"/>
        </w:rPr>
        <w:t xml:space="preserve"> will first review and prioritize the applications for SHSP grant funds. This is to ensure the elements of “Risk, Vulnerability, Consequence and Regionalism” were justified at a subject matter expertise level. During the </w:t>
      </w:r>
      <w:r w:rsidR="00030A70">
        <w:rPr>
          <w:rFonts w:eastAsia="Calibri"/>
          <w:szCs w:val="24"/>
        </w:rPr>
        <w:t>subcommittee</w:t>
      </w:r>
      <w:r w:rsidRPr="008C71CA">
        <w:rPr>
          <w:rFonts w:eastAsia="Calibri"/>
          <w:szCs w:val="24"/>
        </w:rPr>
        <w:t xml:space="preserve"> meetings, each jurisdiction can answer any questions the </w:t>
      </w:r>
      <w:r w:rsidR="00030A70">
        <w:rPr>
          <w:rFonts w:eastAsia="Calibri"/>
          <w:szCs w:val="24"/>
        </w:rPr>
        <w:t>subject matter experts</w:t>
      </w:r>
      <w:r w:rsidRPr="008C71CA">
        <w:rPr>
          <w:rFonts w:eastAsia="Calibri"/>
          <w:szCs w:val="24"/>
        </w:rPr>
        <w:t xml:space="preserve"> may have. Then the </w:t>
      </w:r>
      <w:r w:rsidR="00030A70">
        <w:rPr>
          <w:rFonts w:eastAsia="Calibri"/>
          <w:szCs w:val="24"/>
        </w:rPr>
        <w:t>subcommittees</w:t>
      </w:r>
      <w:r w:rsidRPr="008C71CA">
        <w:rPr>
          <w:rFonts w:eastAsia="Calibri"/>
          <w:szCs w:val="24"/>
        </w:rPr>
        <w:t xml:space="preserve"> will submit all projects</w:t>
      </w:r>
      <w:r w:rsidR="00030A70">
        <w:rPr>
          <w:rFonts w:eastAsia="Calibri"/>
          <w:szCs w:val="24"/>
        </w:rPr>
        <w:t xml:space="preserve"> in rank order</w:t>
      </w:r>
      <w:r w:rsidRPr="008C71CA">
        <w:rPr>
          <w:rFonts w:eastAsia="Calibri"/>
          <w:szCs w:val="24"/>
        </w:rPr>
        <w:t xml:space="preserve"> to REPAC for review </w:t>
      </w:r>
      <w:proofErr w:type="gramStart"/>
      <w:r w:rsidRPr="008C71CA">
        <w:rPr>
          <w:rFonts w:eastAsia="Calibri"/>
          <w:szCs w:val="24"/>
        </w:rPr>
        <w:t>as a whole with</w:t>
      </w:r>
      <w:proofErr w:type="gramEnd"/>
      <w:r w:rsidRPr="008C71CA">
        <w:rPr>
          <w:rFonts w:eastAsia="Calibri"/>
          <w:szCs w:val="24"/>
        </w:rPr>
        <w:t xml:space="preserve"> their recommendations. The various jurisdictions will present their respective projects to REPAC. At this time REPAC will review and rank each individual project focus</w:t>
      </w:r>
      <w:r w:rsidR="007911EF">
        <w:rPr>
          <w:rFonts w:eastAsia="Calibri"/>
          <w:szCs w:val="24"/>
        </w:rPr>
        <w:t>ing</w:t>
      </w:r>
      <w:r w:rsidRPr="008C71CA">
        <w:rPr>
          <w:rFonts w:eastAsia="Calibri"/>
          <w:szCs w:val="24"/>
        </w:rPr>
        <w:t xml:space="preserve"> on risk, vulnerability, consequence, and regionalism giving us the overall ranking of projects.</w:t>
      </w:r>
    </w:p>
    <w:p w14:paraId="475C9C86" w14:textId="77777777" w:rsidR="00BA46E3" w:rsidRDefault="00BA46E3" w:rsidP="00BA46E3">
      <w:pPr>
        <w:pStyle w:val="ListParagraph"/>
        <w:pBdr>
          <w:bottom w:val="single" w:sz="4" w:space="1" w:color="auto"/>
        </w:pBdr>
        <w:spacing w:after="0"/>
        <w:ind w:left="0"/>
        <w:jc w:val="both"/>
        <w:rPr>
          <w:b/>
        </w:rPr>
      </w:pPr>
    </w:p>
    <w:p w14:paraId="46EDAB3A" w14:textId="77777777" w:rsidR="00BE163D" w:rsidRPr="00BA46E3" w:rsidRDefault="00BE163D" w:rsidP="002344AD">
      <w:pPr>
        <w:pStyle w:val="ListParagraph"/>
        <w:spacing w:after="0"/>
        <w:ind w:left="0"/>
        <w:jc w:val="both"/>
        <w:rPr>
          <w:b/>
          <w:i/>
          <w:color w:val="1F497D" w:themeColor="text2"/>
        </w:rPr>
      </w:pPr>
    </w:p>
    <w:p w14:paraId="26CEB527" w14:textId="77777777" w:rsidR="00027779" w:rsidRDefault="00753A8F" w:rsidP="00A917A1">
      <w:pPr>
        <w:pStyle w:val="ListParagraph"/>
        <w:spacing w:after="0"/>
        <w:ind w:left="0"/>
        <w:jc w:val="both"/>
        <w:rPr>
          <w:b/>
          <w:i/>
        </w:rPr>
      </w:pPr>
      <w:r w:rsidRPr="00030A70">
        <w:rPr>
          <w:rFonts w:eastAsia="Calibri"/>
          <w:b/>
          <w:i/>
          <w:szCs w:val="24"/>
        </w:rPr>
        <w:t>Prioritization</w:t>
      </w:r>
      <w:r w:rsidRPr="00030A70">
        <w:rPr>
          <w:b/>
          <w:i/>
        </w:rPr>
        <w:t xml:space="preserve"> </w:t>
      </w:r>
      <w:r w:rsidR="00BE163D" w:rsidRPr="00030A70">
        <w:rPr>
          <w:b/>
          <w:i/>
        </w:rPr>
        <w:t>Sheet and Criteria</w:t>
      </w:r>
      <w:r w:rsidR="00027779" w:rsidRPr="00030A70">
        <w:rPr>
          <w:b/>
          <w:i/>
        </w:rPr>
        <w:t xml:space="preserve"> example</w:t>
      </w:r>
      <w:r w:rsidR="007911EF">
        <w:rPr>
          <w:b/>
          <w:i/>
        </w:rPr>
        <w:t>s:</w:t>
      </w:r>
    </w:p>
    <w:p w14:paraId="63084DEA" w14:textId="77777777" w:rsidR="007911EF" w:rsidRPr="00030A70" w:rsidRDefault="007911EF" w:rsidP="00A917A1">
      <w:pPr>
        <w:pStyle w:val="ListParagraph"/>
        <w:spacing w:after="0"/>
        <w:ind w:left="0"/>
        <w:jc w:val="both"/>
        <w:rPr>
          <w:b/>
          <w:i/>
        </w:rPr>
      </w:pPr>
    </w:p>
    <w:p w14:paraId="50A2056A" w14:textId="77777777" w:rsidR="003D64ED" w:rsidRPr="008C1199" w:rsidRDefault="003D64ED" w:rsidP="002344AD">
      <w:pPr>
        <w:spacing w:after="0"/>
        <w:jc w:val="both"/>
        <w:outlineLvl w:val="0"/>
        <w:rPr>
          <w:b/>
          <w:u w:val="single"/>
        </w:rPr>
      </w:pPr>
      <w:r w:rsidRPr="008C1199">
        <w:rPr>
          <w:b/>
          <w:u w:val="single"/>
        </w:rPr>
        <w:t>FY 20</w:t>
      </w:r>
      <w:r w:rsidR="002B1DB6">
        <w:rPr>
          <w:b/>
          <w:u w:val="single"/>
        </w:rPr>
        <w:t>24</w:t>
      </w:r>
      <w:r w:rsidRPr="008C1199">
        <w:rPr>
          <w:b/>
          <w:u w:val="single"/>
        </w:rPr>
        <w:t xml:space="preserve"> </w:t>
      </w:r>
      <w:r w:rsidR="00643D70">
        <w:rPr>
          <w:b/>
          <w:u w:val="single"/>
        </w:rPr>
        <w:t>SHSP</w:t>
      </w:r>
      <w:r>
        <w:rPr>
          <w:b/>
          <w:u w:val="single"/>
        </w:rPr>
        <w:t xml:space="preserve"> AACOG</w:t>
      </w:r>
      <w:r w:rsidRPr="008C1199">
        <w:rPr>
          <w:b/>
          <w:u w:val="single"/>
        </w:rPr>
        <w:t xml:space="preserve"> </w:t>
      </w:r>
      <w:r w:rsidR="00705F12">
        <w:rPr>
          <w:b/>
          <w:u w:val="single"/>
        </w:rPr>
        <w:t>Ranking Software Screenshot</w:t>
      </w:r>
    </w:p>
    <w:p w14:paraId="72B69390" w14:textId="77777777" w:rsidR="00027779" w:rsidRDefault="00027779" w:rsidP="002344AD">
      <w:pPr>
        <w:pStyle w:val="ListParagraph"/>
        <w:spacing w:after="0"/>
        <w:ind w:left="0"/>
        <w:jc w:val="both"/>
        <w:rPr>
          <w:b/>
        </w:rPr>
      </w:pPr>
    </w:p>
    <w:p w14:paraId="6147F645" w14:textId="224F78ED" w:rsidR="00705F12" w:rsidRDefault="00DA5622" w:rsidP="002344AD">
      <w:pPr>
        <w:pStyle w:val="ListParagraph"/>
        <w:spacing w:after="0"/>
        <w:ind w:left="0"/>
        <w:jc w:val="both"/>
        <w:rPr>
          <w:b/>
        </w:rPr>
      </w:pPr>
      <w:r w:rsidRPr="00DA5622">
        <w:rPr>
          <w:b/>
        </w:rPr>
        <w:drawing>
          <wp:inline distT="0" distB="0" distL="0" distR="0" wp14:anchorId="5DDED531" wp14:editId="5703EC8C">
            <wp:extent cx="6344409" cy="4324350"/>
            <wp:effectExtent l="0" t="0" r="0" b="0"/>
            <wp:docPr id="213115202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52022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3736" cy="43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91C1" w14:textId="77777777" w:rsidR="00705F12" w:rsidRDefault="00705F12" w:rsidP="002344AD">
      <w:pPr>
        <w:pStyle w:val="ListParagraph"/>
        <w:spacing w:after="0"/>
        <w:ind w:left="0"/>
        <w:jc w:val="both"/>
        <w:rPr>
          <w:b/>
        </w:rPr>
      </w:pPr>
    </w:p>
    <w:p w14:paraId="70476709" w14:textId="77777777" w:rsidR="003D64ED" w:rsidRDefault="006E01B4" w:rsidP="002344AD">
      <w:pPr>
        <w:pStyle w:val="ListParagraph"/>
        <w:ind w:left="0"/>
        <w:jc w:val="both"/>
        <w:rPr>
          <w:b/>
        </w:rPr>
      </w:pPr>
      <w:r w:rsidRPr="006E01B4">
        <w:rPr>
          <w:b/>
          <w:u w:val="single"/>
        </w:rPr>
        <w:lastRenderedPageBreak/>
        <w:t xml:space="preserve">FY </w:t>
      </w:r>
      <w:r w:rsidR="002B1DB6">
        <w:rPr>
          <w:b/>
          <w:u w:val="single"/>
        </w:rPr>
        <w:t>2024</w:t>
      </w:r>
      <w:r w:rsidR="00643D70">
        <w:rPr>
          <w:b/>
          <w:u w:val="single"/>
        </w:rPr>
        <w:t xml:space="preserve"> SHSP</w:t>
      </w:r>
      <w:r>
        <w:rPr>
          <w:b/>
          <w:u w:val="single"/>
        </w:rPr>
        <w:t xml:space="preserve"> AACOG </w:t>
      </w:r>
      <w:r w:rsidR="00705F12">
        <w:rPr>
          <w:b/>
          <w:u w:val="single"/>
        </w:rPr>
        <w:t>Subcommittee</w:t>
      </w:r>
      <w:r w:rsidRPr="008C1199">
        <w:rPr>
          <w:b/>
          <w:u w:val="single"/>
        </w:rPr>
        <w:t xml:space="preserve"> </w:t>
      </w:r>
      <w:r w:rsidR="00705F12">
        <w:rPr>
          <w:b/>
          <w:u w:val="single"/>
        </w:rPr>
        <w:t>Ranking</w:t>
      </w:r>
      <w:r w:rsidRPr="00692C38">
        <w:rPr>
          <w:b/>
          <w:u w:val="single"/>
        </w:rPr>
        <w:t xml:space="preserve"> </w:t>
      </w:r>
      <w:r w:rsidRPr="008C1199">
        <w:rPr>
          <w:b/>
          <w:u w:val="single"/>
        </w:rPr>
        <w:t>S</w:t>
      </w:r>
      <w:r>
        <w:rPr>
          <w:b/>
          <w:u w:val="single"/>
        </w:rPr>
        <w:t>heet</w:t>
      </w:r>
    </w:p>
    <w:p w14:paraId="7E48C0DF" w14:textId="77777777" w:rsidR="00027779" w:rsidRDefault="00027779" w:rsidP="002344AD">
      <w:pPr>
        <w:pStyle w:val="ListParagraph"/>
        <w:ind w:left="0"/>
        <w:jc w:val="both"/>
        <w:rPr>
          <w:noProof/>
        </w:rPr>
      </w:pPr>
    </w:p>
    <w:p w14:paraId="481C2DE9" w14:textId="77777777" w:rsidR="00E233CB" w:rsidRDefault="00E233CB" w:rsidP="002344AD">
      <w:pPr>
        <w:pStyle w:val="ListParagraph"/>
        <w:ind w:left="0"/>
        <w:jc w:val="both"/>
        <w:rPr>
          <w:noProof/>
        </w:rPr>
      </w:pPr>
    </w:p>
    <w:p w14:paraId="7C1A2A11" w14:textId="77777777" w:rsidR="003D64ED" w:rsidRDefault="00E233CB" w:rsidP="002344AD">
      <w:pPr>
        <w:pStyle w:val="ListParagraph"/>
        <w:ind w:left="0"/>
        <w:jc w:val="both"/>
        <w:rPr>
          <w:b/>
        </w:rPr>
      </w:pPr>
      <w:r>
        <w:rPr>
          <w:noProof/>
        </w:rPr>
        <w:drawing>
          <wp:inline distT="0" distB="0" distL="0" distR="0" wp14:anchorId="7F2CD98F" wp14:editId="26FC1CE6">
            <wp:extent cx="6365373" cy="3242899"/>
            <wp:effectExtent l="19050" t="19050" r="1651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" b="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373" cy="32428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64ED" w:rsidSect="006936F8">
      <w:headerReference w:type="default" r:id="rId11"/>
      <w:footerReference w:type="even" r:id="rId12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5265" w14:textId="77777777" w:rsidR="004D79E8" w:rsidRDefault="004D79E8" w:rsidP="006936F8">
      <w:pPr>
        <w:spacing w:after="0"/>
      </w:pPr>
      <w:r>
        <w:separator/>
      </w:r>
    </w:p>
  </w:endnote>
  <w:endnote w:type="continuationSeparator" w:id="0">
    <w:p w14:paraId="26C32529" w14:textId="77777777" w:rsidR="004D79E8" w:rsidRDefault="004D79E8" w:rsidP="00693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5466" w14:textId="77777777" w:rsidR="006936F8" w:rsidRPr="006936F8" w:rsidRDefault="006936F8" w:rsidP="006936F8">
    <w:pPr>
      <w:pStyle w:val="Footer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7A3A" w14:textId="77777777" w:rsidR="004D79E8" w:rsidRDefault="004D79E8" w:rsidP="006936F8">
      <w:pPr>
        <w:spacing w:after="0"/>
      </w:pPr>
      <w:r>
        <w:separator/>
      </w:r>
    </w:p>
  </w:footnote>
  <w:footnote w:type="continuationSeparator" w:id="0">
    <w:p w14:paraId="48C77297" w14:textId="77777777" w:rsidR="004D79E8" w:rsidRDefault="004D79E8" w:rsidP="006936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D73" w14:textId="77777777" w:rsidR="006936F8" w:rsidRPr="006936F8" w:rsidRDefault="00636A20" w:rsidP="006936F8">
    <w:pPr>
      <w:pStyle w:val="Footer"/>
      <w:jc w:val="right"/>
      <w:rPr>
        <w:b/>
        <w:sz w:val="22"/>
      </w:rPr>
    </w:pPr>
    <w:r>
      <w:rPr>
        <w:b/>
        <w:sz w:val="22"/>
      </w:rPr>
      <w:t xml:space="preserve">FISCAL YEAR </w:t>
    </w:r>
    <w:r w:rsidR="00AF3F4A" w:rsidRPr="000E1533">
      <w:rPr>
        <w:b/>
        <w:sz w:val="22"/>
      </w:rPr>
      <w:t>202</w:t>
    </w:r>
    <w:r w:rsidR="002B1DB6">
      <w:rPr>
        <w:b/>
        <w:sz w:val="22"/>
      </w:rPr>
      <w:t>4</w:t>
    </w:r>
    <w:r w:rsidR="006936F8" w:rsidRPr="006936F8">
      <w:rPr>
        <w:b/>
        <w:sz w:val="22"/>
      </w:rPr>
      <w:t xml:space="preserve"> ALLOCATION OF FUNDS</w:t>
    </w:r>
  </w:p>
  <w:p w14:paraId="4C6FEBC3" w14:textId="77777777" w:rsidR="006936F8" w:rsidRPr="006936F8" w:rsidRDefault="006936F8" w:rsidP="006936F8">
    <w:pPr>
      <w:pStyle w:val="Footer"/>
      <w:jc w:val="right"/>
      <w:rPr>
        <w:b/>
        <w:sz w:val="22"/>
      </w:rPr>
    </w:pPr>
    <w:r w:rsidRPr="006936F8">
      <w:rPr>
        <w:b/>
        <w:sz w:val="22"/>
      </w:rPr>
      <w:t>RISK INFORMED METHODOLOGY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5D5"/>
    <w:multiLevelType w:val="hybridMultilevel"/>
    <w:tmpl w:val="ADB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EC2"/>
    <w:multiLevelType w:val="hybridMultilevel"/>
    <w:tmpl w:val="1DAE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4E6"/>
    <w:multiLevelType w:val="hybridMultilevel"/>
    <w:tmpl w:val="91E693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D0200"/>
    <w:multiLevelType w:val="hybridMultilevel"/>
    <w:tmpl w:val="BE4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473"/>
    <w:multiLevelType w:val="hybridMultilevel"/>
    <w:tmpl w:val="DFDE09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410FD"/>
    <w:multiLevelType w:val="hybridMultilevel"/>
    <w:tmpl w:val="56DA576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696006839">
    <w:abstractNumId w:val="4"/>
  </w:num>
  <w:num w:numId="2" w16cid:durableId="1543442227">
    <w:abstractNumId w:val="5"/>
  </w:num>
  <w:num w:numId="3" w16cid:durableId="403336121">
    <w:abstractNumId w:val="2"/>
  </w:num>
  <w:num w:numId="4" w16cid:durableId="910772406">
    <w:abstractNumId w:val="1"/>
  </w:num>
  <w:num w:numId="5" w16cid:durableId="80302120">
    <w:abstractNumId w:val="0"/>
  </w:num>
  <w:num w:numId="6" w16cid:durableId="441657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2B"/>
    <w:rsid w:val="00027779"/>
    <w:rsid w:val="00030A70"/>
    <w:rsid w:val="00043BE1"/>
    <w:rsid w:val="000700EF"/>
    <w:rsid w:val="000E1533"/>
    <w:rsid w:val="00132275"/>
    <w:rsid w:val="001519E9"/>
    <w:rsid w:val="001C2A96"/>
    <w:rsid w:val="001C5211"/>
    <w:rsid w:val="001C5327"/>
    <w:rsid w:val="001F15CE"/>
    <w:rsid w:val="00207438"/>
    <w:rsid w:val="00207942"/>
    <w:rsid w:val="002344AD"/>
    <w:rsid w:val="002A22D8"/>
    <w:rsid w:val="002B1DB6"/>
    <w:rsid w:val="002B37C2"/>
    <w:rsid w:val="002C6CAE"/>
    <w:rsid w:val="00311252"/>
    <w:rsid w:val="003D64ED"/>
    <w:rsid w:val="003E18F5"/>
    <w:rsid w:val="003E1F1B"/>
    <w:rsid w:val="004B404B"/>
    <w:rsid w:val="004D79E8"/>
    <w:rsid w:val="00572A2E"/>
    <w:rsid w:val="005C06E6"/>
    <w:rsid w:val="00615241"/>
    <w:rsid w:val="0063683F"/>
    <w:rsid w:val="00636A20"/>
    <w:rsid w:val="00643D70"/>
    <w:rsid w:val="00664266"/>
    <w:rsid w:val="00684994"/>
    <w:rsid w:val="00692C38"/>
    <w:rsid w:val="006936F8"/>
    <w:rsid w:val="006B1C5B"/>
    <w:rsid w:val="006C618F"/>
    <w:rsid w:val="006E01B4"/>
    <w:rsid w:val="006F7C36"/>
    <w:rsid w:val="00705F12"/>
    <w:rsid w:val="007323A7"/>
    <w:rsid w:val="00747486"/>
    <w:rsid w:val="00753A8F"/>
    <w:rsid w:val="00753B6A"/>
    <w:rsid w:val="007911EF"/>
    <w:rsid w:val="007B7F74"/>
    <w:rsid w:val="007F4C82"/>
    <w:rsid w:val="00821C3A"/>
    <w:rsid w:val="008C71CA"/>
    <w:rsid w:val="00920FAE"/>
    <w:rsid w:val="00A917A1"/>
    <w:rsid w:val="00A93421"/>
    <w:rsid w:val="00AB02D1"/>
    <w:rsid w:val="00AC32DE"/>
    <w:rsid w:val="00AC6C2B"/>
    <w:rsid w:val="00AD764B"/>
    <w:rsid w:val="00AE758E"/>
    <w:rsid w:val="00AF3F4A"/>
    <w:rsid w:val="00B70ACD"/>
    <w:rsid w:val="00B82D9D"/>
    <w:rsid w:val="00BA46E3"/>
    <w:rsid w:val="00BE163D"/>
    <w:rsid w:val="00C3704E"/>
    <w:rsid w:val="00CA6B3C"/>
    <w:rsid w:val="00CC0612"/>
    <w:rsid w:val="00CD1409"/>
    <w:rsid w:val="00CF28BB"/>
    <w:rsid w:val="00D77D48"/>
    <w:rsid w:val="00D929AB"/>
    <w:rsid w:val="00DA313F"/>
    <w:rsid w:val="00DA5622"/>
    <w:rsid w:val="00E233CB"/>
    <w:rsid w:val="00F6655D"/>
    <w:rsid w:val="00F80684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5322A"/>
  <w15:docId w15:val="{FDE43068-364A-4B0D-AF27-E749E09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8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3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6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36F8"/>
  </w:style>
  <w:style w:type="paragraph" w:styleId="Footer">
    <w:name w:val="footer"/>
    <w:basedOn w:val="Normal"/>
    <w:link w:val="FooterChar"/>
    <w:uiPriority w:val="99"/>
    <w:unhideWhenUsed/>
    <w:rsid w:val="006936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36F8"/>
  </w:style>
  <w:style w:type="paragraph" w:styleId="Revision">
    <w:name w:val="Revision"/>
    <w:hidden/>
    <w:uiPriority w:val="99"/>
    <w:semiHidden/>
    <w:rsid w:val="00AD764B"/>
    <w:pPr>
      <w:spacing w:after="0" w:line="240" w:lineRule="auto"/>
    </w:pPr>
  </w:style>
  <w:style w:type="paragraph" w:styleId="BodyText">
    <w:name w:val="Body Text"/>
    <w:basedOn w:val="Normal"/>
    <w:link w:val="BodyTextChar"/>
    <w:rsid w:val="0063683F"/>
    <w:pPr>
      <w:spacing w:after="0"/>
      <w:jc w:val="both"/>
    </w:pPr>
    <w:rPr>
      <w:rFonts w:eastAsia="Times New Roman" w:cs="Times New Roman"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3683F"/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33BB-D7DE-4002-B785-2039311E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Norton</dc:creator>
  <cp:lastModifiedBy>Marcela Medina</cp:lastModifiedBy>
  <cp:revision>5</cp:revision>
  <cp:lastPrinted>2017-10-13T13:09:00Z</cp:lastPrinted>
  <dcterms:created xsi:type="dcterms:W3CDTF">2023-10-04T17:20:00Z</dcterms:created>
  <dcterms:modified xsi:type="dcterms:W3CDTF">2024-01-31T17:48:00Z</dcterms:modified>
</cp:coreProperties>
</file>